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4A" w:rsidRPr="00A62FAE" w:rsidRDefault="00C90D4A" w:rsidP="00C90D4A">
      <w:pPr>
        <w:rPr>
          <w:b/>
          <w:color w:val="1F497D"/>
          <w:sz w:val="28"/>
          <w:szCs w:val="28"/>
          <w:u w:val="single"/>
        </w:rPr>
      </w:pPr>
      <w:r>
        <w:rPr>
          <w:b/>
          <w:noProof/>
          <w:lang w:eastAsia="ru-RU"/>
        </w:rPr>
        <w:drawing>
          <wp:inline distT="0" distB="0" distL="0" distR="0">
            <wp:extent cx="1397635" cy="457200"/>
            <wp:effectExtent l="19050" t="0" r="0" b="0"/>
            <wp:docPr id="4" name="Рисунок 0" descr="IMG_4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IMG_497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78" t="10204" r="3152" b="8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0D4A">
        <w:rPr>
          <w:b/>
          <w:color w:val="1F497D"/>
          <w:sz w:val="28"/>
          <w:szCs w:val="28"/>
          <w:u w:val="single"/>
        </w:rPr>
        <w:t xml:space="preserve"> </w:t>
      </w:r>
      <w:r w:rsidRPr="00A62FAE">
        <w:rPr>
          <w:b/>
          <w:color w:val="1F497D"/>
          <w:sz w:val="28"/>
          <w:szCs w:val="28"/>
          <w:u w:val="single"/>
        </w:rPr>
        <w:t>ЯКУТИЯ: ВЕЛИКАЯ ОТЕЧЕСТВЕННАЯ ВОЙНА В ЦИФРАХ</w:t>
      </w:r>
    </w:p>
    <w:p w:rsidR="00FB6C85" w:rsidRPr="006958F7" w:rsidRDefault="0021550E" w:rsidP="0021550E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6958F7">
        <w:rPr>
          <w:b/>
          <w:bCs/>
          <w:sz w:val="28"/>
          <w:szCs w:val="28"/>
        </w:rPr>
        <w:t>ФИНАНС</w:t>
      </w:r>
      <w:r w:rsidR="006958F7" w:rsidRPr="006958F7">
        <w:rPr>
          <w:b/>
          <w:bCs/>
          <w:sz w:val="28"/>
          <w:szCs w:val="28"/>
        </w:rPr>
        <w:t>Ы</w:t>
      </w:r>
    </w:p>
    <w:p w:rsidR="0021550E" w:rsidRPr="0021550E" w:rsidRDefault="0021550E" w:rsidP="0021550E">
      <w:pPr>
        <w:spacing w:after="0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90D4A" w:rsidRPr="0021550E" w:rsidRDefault="00C90D4A" w:rsidP="002155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50E">
        <w:rPr>
          <w:b/>
          <w:bCs/>
        </w:rPr>
        <w:t>ГОСУДАРСТВЕННЫЕ ФИНАНСЫ</w:t>
      </w:r>
    </w:p>
    <w:p w:rsidR="00E46EC8" w:rsidRPr="00E46EC8" w:rsidRDefault="00E46EC8" w:rsidP="0021550E">
      <w:pPr>
        <w:spacing w:before="60"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EC8">
        <w:rPr>
          <w:rFonts w:ascii="Times New Roman" w:hAnsi="Times New Roman" w:cs="Times New Roman"/>
          <w:sz w:val="24"/>
          <w:szCs w:val="24"/>
        </w:rPr>
        <w:t xml:space="preserve">Государственный бюджет </w:t>
      </w:r>
      <w:r w:rsidRPr="00C90D4A">
        <w:rPr>
          <w:rFonts w:ascii="Times New Roman" w:hAnsi="Times New Roman" w:cs="Times New Roman"/>
          <w:sz w:val="24"/>
          <w:szCs w:val="24"/>
        </w:rPr>
        <w:t>ЯАССР на 1941 год</w:t>
      </w:r>
      <w:r w:rsidRPr="00E46EC8">
        <w:rPr>
          <w:rFonts w:ascii="Times New Roman" w:hAnsi="Times New Roman" w:cs="Times New Roman"/>
          <w:sz w:val="24"/>
          <w:szCs w:val="24"/>
        </w:rPr>
        <w:t xml:space="preserve"> был утвержден </w:t>
      </w:r>
      <w:r w:rsidRPr="00E46EC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46EC8">
        <w:rPr>
          <w:rFonts w:ascii="Times New Roman" w:hAnsi="Times New Roman" w:cs="Times New Roman"/>
          <w:sz w:val="24"/>
          <w:szCs w:val="24"/>
        </w:rPr>
        <w:t xml:space="preserve"> сессией Верховного Совета ЯАССР, как бюджет мирного времени, по доходам и расходам в сумме 177,6 млн. руб. Две трети бюджетных ассигнований предназначались на дальнейшее развитие социально-культурных мероприятий. </w:t>
      </w:r>
    </w:p>
    <w:p w:rsidR="00E46EC8" w:rsidRPr="00E46EC8" w:rsidRDefault="00E46EC8" w:rsidP="00215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 w:rsidRPr="00E46EC8">
        <w:rPr>
          <w:rFonts w:ascii="Times New Roman" w:hAnsi="Times New Roman" w:cs="Times New Roman"/>
          <w:b/>
          <w:bCs/>
          <w:sz w:val="24"/>
          <w:szCs w:val="24"/>
        </w:rPr>
        <w:t xml:space="preserve"> Великой Отечественной войны</w:t>
      </w:r>
      <w:r w:rsidRPr="00E46EC8">
        <w:rPr>
          <w:rFonts w:ascii="Times New Roman" w:hAnsi="Times New Roman" w:cs="Times New Roman"/>
          <w:sz w:val="24"/>
          <w:szCs w:val="24"/>
        </w:rPr>
        <w:t xml:space="preserve"> </w:t>
      </w:r>
      <w:r w:rsidRPr="00E46EC8">
        <w:rPr>
          <w:rFonts w:ascii="Times New Roman" w:hAnsi="Times New Roman" w:cs="Times New Roman"/>
          <w:bCs/>
          <w:sz w:val="24"/>
          <w:szCs w:val="24"/>
        </w:rPr>
        <w:t xml:space="preserve">в середине 1941 года потребовало перестройки всего народного хозяйства на военный лад. Все материальные и денежные ресурсы государства были направлены на нужды фронта. В связи с этим во второй половине 1941 года расходы бюджета ЯАССР были сокращены на сумму 18,1 млн. руб. и переданы в союзный бюджет. </w:t>
      </w:r>
      <w:r w:rsidRPr="00E46EC8">
        <w:rPr>
          <w:rFonts w:ascii="Times New Roman" w:hAnsi="Times New Roman" w:cs="Times New Roman"/>
          <w:sz w:val="24"/>
          <w:szCs w:val="24"/>
        </w:rPr>
        <w:t>В сложившихся условиях государственный бюджет ЯАССР был выполнен по доходам в сумме 191,9 млн. руб., по расходам – 185,9 млн. руб., включая суммы по взаимным расчетам с РСФСР, с превышением доходов над расходами на 6,05 млн. руб.</w:t>
      </w:r>
    </w:p>
    <w:p w:rsidR="00E46EC8" w:rsidRDefault="00E46EC8">
      <w:r>
        <w:rPr>
          <w:noProof/>
          <w:lang w:eastAsia="ru-RU"/>
        </w:rPr>
        <w:drawing>
          <wp:inline distT="0" distB="0" distL="0" distR="0">
            <wp:extent cx="5940425" cy="2604386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46EC8" w:rsidRPr="00E46EC8" w:rsidRDefault="00E46EC8" w:rsidP="0021550E">
      <w:pPr>
        <w:pStyle w:val="a5"/>
        <w:spacing w:line="264" w:lineRule="auto"/>
        <w:ind w:firstLine="709"/>
      </w:pPr>
      <w:r w:rsidRPr="00E46EC8">
        <w:t>В 1942 году, по сравнению с 1941 годом, объем расходов бюджета сократился на 25,1% за счет сокращения финансирования во второй половине 1941 года отдельных социально-культурных мероприятий, которые не были предусмотрены на 1942 год.</w:t>
      </w:r>
    </w:p>
    <w:p w:rsidR="00E46EC8" w:rsidRDefault="00E46EC8" w:rsidP="00215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6EC8">
        <w:rPr>
          <w:rFonts w:ascii="Times New Roman" w:hAnsi="Times New Roman" w:cs="Times New Roman"/>
          <w:sz w:val="24"/>
          <w:szCs w:val="24"/>
        </w:rPr>
        <w:t>Б</w:t>
      </w:r>
      <w:r w:rsidRPr="00E46EC8">
        <w:rPr>
          <w:rFonts w:ascii="Times New Roman" w:hAnsi="Times New Roman" w:cs="Times New Roman"/>
          <w:iCs/>
          <w:sz w:val="24"/>
          <w:szCs w:val="24"/>
        </w:rPr>
        <w:t xml:space="preserve">юджетом ЯАССР на 1944 год, по сравнению с предыдущим годом, предусматривался рост финансирования </w:t>
      </w:r>
      <w:r w:rsidRPr="00E46EC8">
        <w:rPr>
          <w:rFonts w:ascii="Times New Roman" w:hAnsi="Times New Roman" w:cs="Times New Roman"/>
          <w:sz w:val="24"/>
          <w:szCs w:val="24"/>
        </w:rPr>
        <w:t>социально-культурных мероприятий. Расходы на социальное обеспечение и, в первую очередь, на пособия инвалидам войны предусматривалось увеличить на 41,1%. Кроме того, в те годы остро стоял вопрос предупреждения эпидемиологических заболеваний. В бюджете ЯАССР на 1944 год предусматривалось увеличить ассигнования на санитарно-противоэпидемиологические мероприятия на 33% и на мероприятия по борьбе с туберкулезом – на 47,4%</w:t>
      </w:r>
    </w:p>
    <w:p w:rsidR="00C90D4A" w:rsidRDefault="00530372" w:rsidP="002155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 </w:t>
      </w:r>
      <w:r w:rsidRPr="00530372">
        <w:rPr>
          <w:rFonts w:ascii="Times New Roman" w:hAnsi="Times New Roman" w:cs="Times New Roman"/>
          <w:sz w:val="24"/>
          <w:szCs w:val="24"/>
        </w:rPr>
        <w:t>1941-1943гг. на более высоком уровне, чем в предвоенные годы, выполнялись местные бюджеты большинства районов республики. Лучшие результаты были достигнуты</w:t>
      </w:r>
      <w:r w:rsidR="00097F41">
        <w:rPr>
          <w:rFonts w:ascii="Times New Roman" w:hAnsi="Times New Roman" w:cs="Times New Roman"/>
          <w:sz w:val="24"/>
          <w:szCs w:val="24"/>
        </w:rPr>
        <w:t xml:space="preserve"> </w:t>
      </w:r>
      <w:r w:rsidRPr="00530372">
        <w:rPr>
          <w:rFonts w:ascii="Times New Roman" w:hAnsi="Times New Roman" w:cs="Times New Roman"/>
          <w:sz w:val="24"/>
          <w:szCs w:val="24"/>
        </w:rPr>
        <w:t xml:space="preserve"> г</w:t>
      </w:r>
      <w:r w:rsidR="00097F41">
        <w:rPr>
          <w:rFonts w:ascii="Times New Roman" w:hAnsi="Times New Roman" w:cs="Times New Roman"/>
          <w:sz w:val="24"/>
          <w:szCs w:val="24"/>
        </w:rPr>
        <w:t xml:space="preserve">ородом </w:t>
      </w:r>
      <w:r w:rsidRPr="00530372">
        <w:rPr>
          <w:rFonts w:ascii="Times New Roman" w:hAnsi="Times New Roman" w:cs="Times New Roman"/>
          <w:sz w:val="24"/>
          <w:szCs w:val="24"/>
        </w:rPr>
        <w:t>Якутск</w:t>
      </w:r>
      <w:r w:rsidR="00097F41">
        <w:rPr>
          <w:rFonts w:ascii="Times New Roman" w:hAnsi="Times New Roman" w:cs="Times New Roman"/>
          <w:sz w:val="24"/>
          <w:szCs w:val="24"/>
        </w:rPr>
        <w:t>ом</w:t>
      </w:r>
      <w:r w:rsidRPr="00530372">
        <w:rPr>
          <w:rFonts w:ascii="Times New Roman" w:hAnsi="Times New Roman" w:cs="Times New Roman"/>
          <w:sz w:val="24"/>
          <w:szCs w:val="24"/>
        </w:rPr>
        <w:t xml:space="preserve">, а также Ленским, </w:t>
      </w:r>
      <w:proofErr w:type="spellStart"/>
      <w:r w:rsidRPr="00530372">
        <w:rPr>
          <w:rFonts w:ascii="Times New Roman" w:hAnsi="Times New Roman" w:cs="Times New Roman"/>
          <w:sz w:val="24"/>
          <w:szCs w:val="24"/>
        </w:rPr>
        <w:t>Момским</w:t>
      </w:r>
      <w:proofErr w:type="spellEnd"/>
      <w:r w:rsidRPr="005303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0372">
        <w:rPr>
          <w:rFonts w:ascii="Times New Roman" w:hAnsi="Times New Roman" w:cs="Times New Roman"/>
          <w:sz w:val="24"/>
          <w:szCs w:val="24"/>
        </w:rPr>
        <w:t>Таттинским</w:t>
      </w:r>
      <w:proofErr w:type="spellEnd"/>
      <w:r w:rsidRPr="0053037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30372">
        <w:rPr>
          <w:rFonts w:ascii="Times New Roman" w:hAnsi="Times New Roman" w:cs="Times New Roman"/>
          <w:sz w:val="24"/>
          <w:szCs w:val="24"/>
        </w:rPr>
        <w:t>Намским</w:t>
      </w:r>
      <w:proofErr w:type="spellEnd"/>
      <w:r w:rsidRPr="00530372">
        <w:rPr>
          <w:rFonts w:ascii="Times New Roman" w:hAnsi="Times New Roman" w:cs="Times New Roman"/>
          <w:sz w:val="24"/>
          <w:szCs w:val="24"/>
        </w:rPr>
        <w:t xml:space="preserve"> районами. Прирост расходов местных бюджетов за 1945 год, по сравнению с 1940 годом, составлял 25,6%.</w:t>
      </w:r>
    </w:p>
    <w:p w:rsidR="00C90D4A" w:rsidRDefault="00C90D4A" w:rsidP="00C90D4A">
      <w:pPr>
        <w:rPr>
          <w:b/>
        </w:rPr>
      </w:pPr>
      <w:r>
        <w:rPr>
          <w:b/>
        </w:rPr>
        <w:lastRenderedPageBreak/>
        <w:t>ДЕЯТЕЛЬНОСТЬ СБЕРЕГАТЕЛЬНЫХ КАСС</w:t>
      </w:r>
    </w:p>
    <w:p w:rsidR="008B3529" w:rsidRPr="008B3529" w:rsidRDefault="008B3529" w:rsidP="00097F41">
      <w:pPr>
        <w:spacing w:before="120" w:after="0" w:line="264" w:lineRule="auto"/>
        <w:ind w:firstLine="7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5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Якутской АССР на 1 января 1941 года осуществляли свою деятельность 130 сберегательных касс, входящи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B35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Якутского Управления государственных трудовых сберегательных касс и государственного кредита.</w:t>
      </w:r>
    </w:p>
    <w:p w:rsidR="008B3529" w:rsidRDefault="008B3529" w:rsidP="00097F41">
      <w:pPr>
        <w:pStyle w:val="a5"/>
        <w:spacing w:line="264" w:lineRule="auto"/>
        <w:ind w:firstLine="709"/>
      </w:pPr>
      <w:r>
        <w:t xml:space="preserve">Основными вкладчиками сберегательных касс на 1 января 1941 года были служащие, на долю которых приходилось 44% всех вкладов, а также рабочие и члены их семей – 39,5%. Среди организаций наибольший удельный вес приходился на профсоюзные и другие общественные организации – 25,1%. </w:t>
      </w:r>
    </w:p>
    <w:p w:rsidR="008B3529" w:rsidRDefault="008B3529" w:rsidP="00097F41">
      <w:pPr>
        <w:pStyle w:val="a5"/>
        <w:spacing w:line="264" w:lineRule="auto"/>
        <w:ind w:firstLine="709"/>
      </w:pPr>
      <w:r>
        <w:t>В 1940 году, при увеличении количества вкладов на 4 тысячи, общая сумма средств сократилась на 476 тыс. рублей и составила 46,5 млн. рублей.</w:t>
      </w:r>
    </w:p>
    <w:p w:rsidR="00FB6C85" w:rsidRDefault="00FB6C85" w:rsidP="00097F41">
      <w:pPr>
        <w:pStyle w:val="a5"/>
        <w:spacing w:line="264" w:lineRule="auto"/>
        <w:ind w:firstLine="709"/>
      </w:pPr>
      <w:r>
        <w:t xml:space="preserve">В годы Великой Отечественной войны основными функциями сберегательных касс стали мобилизация денежных средств населения для покрытия военных расходов, активное участие в размещении военных государственных займов, а также распространение билетов денежно-вещевых лотерей. Кроме того, через сберкассы поступали значительные средства и ценности, которые население вносило в фонд обороны. </w:t>
      </w:r>
    </w:p>
    <w:p w:rsidR="00FB6C85" w:rsidRPr="008715CC" w:rsidRDefault="008B3529" w:rsidP="00097F41">
      <w:pPr>
        <w:pStyle w:val="a5"/>
        <w:spacing w:line="264" w:lineRule="auto"/>
        <w:ind w:firstLine="709"/>
      </w:pPr>
      <w:r>
        <w:t>Сокращение суммы вкладов населения в сберегательные кассы продолжилось и в 1941 году. Общий остаток вкладов за год уменьшился на 11820 тыс. рублей (на 25,4%)</w:t>
      </w:r>
    </w:p>
    <w:p w:rsidR="00FB6C85" w:rsidRDefault="00FB6C85" w:rsidP="00FB6C85">
      <w:pPr>
        <w:pStyle w:val="2"/>
        <w:spacing w:before="120"/>
      </w:pPr>
      <w:r w:rsidRPr="002A5A71">
        <w:t xml:space="preserve">Вклады физических лиц в сберегательные кассы </w:t>
      </w:r>
      <w:r>
        <w:t>в целом по ЯАССР*</w:t>
      </w:r>
    </w:p>
    <w:p w:rsidR="00FB6C85" w:rsidRPr="008715CC" w:rsidRDefault="00FB6C85" w:rsidP="00FB6C85">
      <w:pPr>
        <w:spacing w:after="120"/>
        <w:jc w:val="center"/>
        <w:rPr>
          <w:rFonts w:ascii="Times New Roman" w:hAnsi="Times New Roman" w:cs="Times New Roman"/>
          <w:sz w:val="20"/>
        </w:rPr>
      </w:pPr>
      <w:r w:rsidRPr="008715CC">
        <w:rPr>
          <w:rFonts w:ascii="Times New Roman" w:hAnsi="Times New Roman" w:cs="Times New Roman"/>
          <w:sz w:val="20"/>
        </w:rPr>
        <w:t>(на конец года)</w:t>
      </w:r>
    </w:p>
    <w:tbl>
      <w:tblPr>
        <w:tblW w:w="9839" w:type="dxa"/>
        <w:jc w:val="center"/>
        <w:tblInd w:w="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872"/>
        <w:gridCol w:w="994"/>
        <w:gridCol w:w="995"/>
        <w:gridCol w:w="994"/>
        <w:gridCol w:w="995"/>
        <w:gridCol w:w="994"/>
        <w:gridCol w:w="995"/>
      </w:tblGrid>
      <w:tr w:rsidR="008715CC" w:rsidTr="008715CC">
        <w:trPr>
          <w:jc w:val="center"/>
        </w:trPr>
        <w:tc>
          <w:tcPr>
            <w:tcW w:w="387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CC" w:rsidRDefault="008715CC" w:rsidP="00C90D4A">
            <w:pPr>
              <w:keepNext/>
              <w:spacing w:after="0"/>
              <w:jc w:val="center"/>
              <w:rPr>
                <w:iCs/>
              </w:rPr>
            </w:pP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1940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1941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1942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1943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1944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15CC" w:rsidRPr="008715CC" w:rsidRDefault="008715CC" w:rsidP="00C90D4A">
            <w:pPr>
              <w:keepNext/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  <w:szCs w:val="20"/>
              </w:rPr>
              <w:t>1945</w:t>
            </w:r>
          </w:p>
        </w:tc>
      </w:tr>
      <w:tr w:rsidR="008715CC" w:rsidTr="008715CC">
        <w:trPr>
          <w:jc w:val="center"/>
        </w:trPr>
        <w:tc>
          <w:tcPr>
            <w:tcW w:w="3872" w:type="dxa"/>
            <w:tcBorders>
              <w:top w:val="single" w:sz="4" w:space="0" w:color="auto"/>
            </w:tcBorders>
          </w:tcPr>
          <w:p w:rsidR="008715CC" w:rsidRPr="008715CC" w:rsidRDefault="008715CC" w:rsidP="008715CC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8715CC">
              <w:rPr>
                <w:rFonts w:ascii="Times New Roman" w:hAnsi="Times New Roman" w:cs="Times New Roman"/>
                <w:iCs/>
              </w:rPr>
              <w:t>Число сберегательных касс, единиц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iCs/>
                <w:sz w:val="20"/>
              </w:rPr>
            </w:pPr>
            <w:r w:rsidRPr="008715CC">
              <w:rPr>
                <w:rFonts w:ascii="Times New Roman" w:hAnsi="Times New Roman" w:cs="Times New Roman"/>
                <w:iCs/>
                <w:sz w:val="20"/>
              </w:rPr>
              <w:t>130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137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143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135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142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158</w:t>
            </w:r>
          </w:p>
        </w:tc>
      </w:tr>
      <w:tr w:rsidR="008715CC" w:rsidTr="008715CC">
        <w:trPr>
          <w:jc w:val="center"/>
        </w:trPr>
        <w:tc>
          <w:tcPr>
            <w:tcW w:w="3872" w:type="dxa"/>
          </w:tcPr>
          <w:p w:rsidR="008715CC" w:rsidRPr="008715CC" w:rsidRDefault="008715CC" w:rsidP="008715CC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8715CC">
              <w:rPr>
                <w:rFonts w:ascii="Times New Roman" w:hAnsi="Times New Roman" w:cs="Times New Roman"/>
                <w:iCs/>
              </w:rPr>
              <w:t>Число вкладов населения, тыс. единиц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114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108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114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110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115</w:t>
            </w:r>
          </w:p>
        </w:tc>
      </w:tr>
      <w:tr w:rsidR="008715CC" w:rsidTr="008715CC">
        <w:trPr>
          <w:jc w:val="center"/>
        </w:trPr>
        <w:tc>
          <w:tcPr>
            <w:tcW w:w="3872" w:type="dxa"/>
          </w:tcPr>
          <w:p w:rsidR="008715CC" w:rsidRPr="008715CC" w:rsidRDefault="008715CC" w:rsidP="008715CC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8715CC">
              <w:rPr>
                <w:rFonts w:ascii="Times New Roman" w:hAnsi="Times New Roman" w:cs="Times New Roman"/>
                <w:iCs/>
              </w:rPr>
              <w:t>Остаток вкладов населения, тыс. рублей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46482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34662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28317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27499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26321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34761</w:t>
            </w:r>
          </w:p>
        </w:tc>
      </w:tr>
      <w:tr w:rsidR="008715CC" w:rsidTr="008715CC">
        <w:trPr>
          <w:jc w:val="center"/>
        </w:trPr>
        <w:tc>
          <w:tcPr>
            <w:tcW w:w="3872" w:type="dxa"/>
          </w:tcPr>
          <w:p w:rsidR="008715CC" w:rsidRPr="008715CC" w:rsidRDefault="008715CC" w:rsidP="008715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15CC">
              <w:rPr>
                <w:rFonts w:ascii="Times New Roman" w:hAnsi="Times New Roman" w:cs="Times New Roman"/>
                <w:iCs/>
              </w:rPr>
              <w:t>Средний размер вклада населения, рублей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387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304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302</w:t>
            </w:r>
          </w:p>
        </w:tc>
      </w:tr>
      <w:tr w:rsidR="008715CC" w:rsidTr="008715CC">
        <w:trPr>
          <w:jc w:val="center"/>
        </w:trPr>
        <w:tc>
          <w:tcPr>
            <w:tcW w:w="3872" w:type="dxa"/>
          </w:tcPr>
          <w:p w:rsidR="008715CC" w:rsidRPr="008715CC" w:rsidRDefault="008715CC" w:rsidP="008715CC">
            <w:pPr>
              <w:keepNext/>
              <w:spacing w:after="0" w:line="240" w:lineRule="auto"/>
              <w:rPr>
                <w:rFonts w:ascii="Times New Roman" w:hAnsi="Times New Roman" w:cs="Times New Roman"/>
              </w:rPr>
            </w:pPr>
            <w:r w:rsidRPr="008715CC">
              <w:rPr>
                <w:rFonts w:ascii="Times New Roman" w:hAnsi="Times New Roman" w:cs="Times New Roman"/>
              </w:rPr>
              <w:t>Общее количество операций за год, единиц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556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826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442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367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356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728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381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393</w:t>
            </w:r>
          </w:p>
        </w:tc>
        <w:tc>
          <w:tcPr>
            <w:tcW w:w="994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435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716</w:t>
            </w:r>
          </w:p>
        </w:tc>
        <w:tc>
          <w:tcPr>
            <w:tcW w:w="995" w:type="dxa"/>
            <w:vAlign w:val="bottom"/>
          </w:tcPr>
          <w:p w:rsidR="008715CC" w:rsidRPr="008715CC" w:rsidRDefault="008715CC" w:rsidP="008715CC">
            <w:pPr>
              <w:spacing w:after="0"/>
              <w:jc w:val="right"/>
              <w:rPr>
                <w:rFonts w:ascii="Times New Roman" w:hAnsi="Times New Roman" w:cs="Times New Roman"/>
                <w:sz w:val="20"/>
              </w:rPr>
            </w:pPr>
            <w:r w:rsidRPr="008715CC">
              <w:rPr>
                <w:rFonts w:ascii="Times New Roman" w:hAnsi="Times New Roman" w:cs="Times New Roman"/>
                <w:sz w:val="20"/>
              </w:rPr>
              <w:t>473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715CC">
              <w:rPr>
                <w:rFonts w:ascii="Times New Roman" w:hAnsi="Times New Roman" w:cs="Times New Roman"/>
                <w:sz w:val="20"/>
              </w:rPr>
              <w:t>974</w:t>
            </w:r>
          </w:p>
        </w:tc>
      </w:tr>
    </w:tbl>
    <w:p w:rsidR="00FB6C85" w:rsidRDefault="00FB6C85" w:rsidP="00FB6C85">
      <w:pPr>
        <w:jc w:val="both"/>
      </w:pPr>
      <w:r>
        <w:rPr>
          <w:i/>
          <w:sz w:val="20"/>
        </w:rPr>
        <w:t>*</w:t>
      </w:r>
      <w:r w:rsidRPr="000E045C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Источник: Национальный архив</w:t>
      </w:r>
      <w:proofErr w:type="gramStart"/>
      <w:r w:rsidRPr="00830711">
        <w:rPr>
          <w:i/>
          <w:sz w:val="20"/>
          <w:szCs w:val="20"/>
        </w:rPr>
        <w:t>,</w:t>
      </w:r>
      <w:r w:rsidRPr="00967307">
        <w:rPr>
          <w:i/>
          <w:sz w:val="20"/>
        </w:rPr>
        <w:t xml:space="preserve">: </w:t>
      </w:r>
      <w:proofErr w:type="gramEnd"/>
      <w:r w:rsidRPr="00967307">
        <w:rPr>
          <w:i/>
          <w:sz w:val="20"/>
        </w:rPr>
        <w:t>ф. 306,оп. 1, д.</w:t>
      </w:r>
      <w:r>
        <w:rPr>
          <w:i/>
          <w:sz w:val="20"/>
        </w:rPr>
        <w:t xml:space="preserve"> </w:t>
      </w:r>
      <w:r w:rsidRPr="00967307">
        <w:rPr>
          <w:i/>
          <w:sz w:val="20"/>
        </w:rPr>
        <w:t xml:space="preserve"> 110, 111, 112, 113, 114, 115</w:t>
      </w:r>
    </w:p>
    <w:p w:rsidR="008715CC" w:rsidRPr="00097F41" w:rsidRDefault="00FB6C85" w:rsidP="00097F4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D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Тенденция снижения количества и суммы вкладов сохранилась до конца 1945 года. Так, в 1944 году, по сравнению с 1939 годом, общая сумма вкладов сократилась на 43,9%, число вкладов – на 5,2%. Но уже к концу 1945 года число вкладов и сумма средств на них достигли уровня 1941 года –115 тыс. единиц и 34761 тыс. рублей соответственно</w:t>
      </w:r>
      <w:r w:rsidR="00C90D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90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7F41" w:rsidRDefault="00FB6C85" w:rsidP="00097F41">
      <w:pPr>
        <w:pStyle w:val="a7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 годы войны изменилась структура вкладчиков: если в 1941 году основной объем приходился на рабочих и членов их семей (</w:t>
      </w:r>
      <w:r w:rsidR="00C90D4A" w:rsidRPr="00C90D4A">
        <w:rPr>
          <w:sz w:val="24"/>
          <w:szCs w:val="24"/>
          <w:lang w:val="ru-RU"/>
        </w:rPr>
        <w:t>77</w:t>
      </w:r>
      <w:r w:rsidR="00C90D4A">
        <w:rPr>
          <w:sz w:val="24"/>
          <w:szCs w:val="24"/>
          <w:lang w:val="ru-RU"/>
        </w:rPr>
        <w:t>,</w:t>
      </w:r>
      <w:r w:rsidR="00C90D4A" w:rsidRPr="00C90D4A">
        <w:rPr>
          <w:sz w:val="24"/>
          <w:szCs w:val="24"/>
          <w:lang w:val="ru-RU"/>
        </w:rPr>
        <w:t>7</w:t>
      </w:r>
      <w:r>
        <w:rPr>
          <w:sz w:val="24"/>
          <w:szCs w:val="24"/>
          <w:lang w:val="ru-RU"/>
        </w:rPr>
        <w:t xml:space="preserve">%), то к концу 1944 года их удельный вес снизился до </w:t>
      </w:r>
      <w:r w:rsidR="00C90D4A">
        <w:rPr>
          <w:sz w:val="24"/>
          <w:szCs w:val="24"/>
          <w:lang w:val="ru-RU"/>
        </w:rPr>
        <w:t>43,7</w:t>
      </w:r>
      <w:r>
        <w:rPr>
          <w:sz w:val="24"/>
          <w:szCs w:val="24"/>
          <w:lang w:val="ru-RU"/>
        </w:rPr>
        <w:t xml:space="preserve">%. Среди организаций наибольший удельный вес приходился на колхозы – в 1944 году </w:t>
      </w:r>
      <w:r w:rsidR="00C90D4A">
        <w:rPr>
          <w:sz w:val="24"/>
          <w:szCs w:val="24"/>
          <w:lang w:val="ru-RU"/>
        </w:rPr>
        <w:t>6,5</w:t>
      </w:r>
      <w:r>
        <w:rPr>
          <w:sz w:val="24"/>
          <w:szCs w:val="24"/>
          <w:lang w:val="ru-RU"/>
        </w:rPr>
        <w:t>%</w:t>
      </w:r>
      <w:r w:rsidR="00C90D4A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(1941 г. – </w:t>
      </w:r>
      <w:r w:rsidR="00C90D4A">
        <w:rPr>
          <w:sz w:val="24"/>
          <w:szCs w:val="24"/>
          <w:lang w:val="ru-RU"/>
        </w:rPr>
        <w:t>0,4</w:t>
      </w:r>
      <w:r>
        <w:rPr>
          <w:sz w:val="24"/>
          <w:szCs w:val="24"/>
          <w:lang w:val="ru-RU"/>
        </w:rPr>
        <w:t xml:space="preserve">%, 1943 г. – </w:t>
      </w:r>
      <w:r w:rsidR="00C90D4A">
        <w:rPr>
          <w:sz w:val="24"/>
          <w:szCs w:val="24"/>
          <w:lang w:val="ru-RU"/>
        </w:rPr>
        <w:t>1,1</w:t>
      </w:r>
      <w:r>
        <w:rPr>
          <w:sz w:val="24"/>
          <w:szCs w:val="24"/>
          <w:lang w:val="ru-RU"/>
        </w:rPr>
        <w:t>%).</w:t>
      </w:r>
    </w:p>
    <w:p w:rsidR="00FB6C85" w:rsidRPr="00097F41" w:rsidRDefault="00097F41" w:rsidP="00097F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9320AE" w:rsidRDefault="00C90D4A" w:rsidP="00C90D4A">
      <w:pPr>
        <w:pStyle w:val="a7"/>
        <w:spacing w:before="240"/>
        <w:ind w:firstLine="0"/>
        <w:jc w:val="center"/>
        <w:rPr>
          <w:b/>
          <w:sz w:val="20"/>
          <w:lang w:val="ru-RU"/>
        </w:rPr>
      </w:pPr>
      <w:r w:rsidRPr="00C90D4A">
        <w:rPr>
          <w:b/>
          <w:sz w:val="20"/>
          <w:lang w:val="ru-RU"/>
        </w:rPr>
        <w:lastRenderedPageBreak/>
        <w:t>ВКЛАДЫ В СБЕРЕГАТЕЛЬНЫХ КАССАХ ПО ГРУППАМ ВКЛАДЧИКОВ</w:t>
      </w:r>
    </w:p>
    <w:p w:rsidR="00C90D4A" w:rsidRDefault="00C90D4A" w:rsidP="00C90D4A">
      <w:pPr>
        <w:pStyle w:val="a7"/>
        <w:spacing w:before="60"/>
        <w:ind w:firstLine="709"/>
        <w:jc w:val="center"/>
        <w:rPr>
          <w:b/>
          <w:sz w:val="20"/>
          <w:lang w:val="ru-RU"/>
        </w:rPr>
      </w:pPr>
      <w:r>
        <w:rPr>
          <w:b/>
          <w:sz w:val="20"/>
          <w:lang w:val="ru-RU"/>
        </w:rPr>
        <w:t>(млн. рублей)</w:t>
      </w:r>
    </w:p>
    <w:p w:rsidR="00C90D4A" w:rsidRPr="00C90D4A" w:rsidRDefault="00C90D4A" w:rsidP="00C90D4A">
      <w:pPr>
        <w:pStyle w:val="a7"/>
        <w:spacing w:before="60"/>
        <w:ind w:firstLine="709"/>
        <w:jc w:val="center"/>
        <w:rPr>
          <w:b/>
          <w:sz w:val="20"/>
          <w:lang w:val="ru-RU"/>
        </w:rPr>
      </w:pPr>
    </w:p>
    <w:p w:rsidR="009320AE" w:rsidRPr="009320AE" w:rsidRDefault="009320AE" w:rsidP="009320AE">
      <w:pPr>
        <w:pStyle w:val="a7"/>
        <w:ind w:firstLine="0"/>
        <w:rPr>
          <w:sz w:val="20"/>
          <w:szCs w:val="24"/>
        </w:rPr>
      </w:pPr>
      <w:r w:rsidRPr="009320AE">
        <w:rPr>
          <w:noProof/>
          <w:sz w:val="20"/>
          <w:szCs w:val="24"/>
          <w:lang w:val="ru-RU"/>
        </w:rPr>
        <w:drawing>
          <wp:inline distT="0" distB="0" distL="0" distR="0">
            <wp:extent cx="5934973" cy="3062378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9320AE" w:rsidRPr="009320AE" w:rsidSect="003D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46EC8"/>
    <w:rsid w:val="00097F41"/>
    <w:rsid w:val="000C4FCE"/>
    <w:rsid w:val="000C6B45"/>
    <w:rsid w:val="00147261"/>
    <w:rsid w:val="001F19CA"/>
    <w:rsid w:val="0021550E"/>
    <w:rsid w:val="003D07E4"/>
    <w:rsid w:val="00406D7D"/>
    <w:rsid w:val="00530372"/>
    <w:rsid w:val="006270A0"/>
    <w:rsid w:val="006958F7"/>
    <w:rsid w:val="008715CC"/>
    <w:rsid w:val="008B3529"/>
    <w:rsid w:val="009320AE"/>
    <w:rsid w:val="00962E2A"/>
    <w:rsid w:val="00A05E8D"/>
    <w:rsid w:val="00BA1449"/>
    <w:rsid w:val="00C90D4A"/>
    <w:rsid w:val="00E46EC8"/>
    <w:rsid w:val="00E915B2"/>
    <w:rsid w:val="00FB6C85"/>
    <w:rsid w:val="00FF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4"/>
  </w:style>
  <w:style w:type="paragraph" w:styleId="2">
    <w:name w:val="heading 2"/>
    <w:basedOn w:val="a"/>
    <w:next w:val="a"/>
    <w:link w:val="20"/>
    <w:qFormat/>
    <w:rsid w:val="00FB6C8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EC8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46EC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46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КДЗаг2"/>
    <w:rsid w:val="00FB6C85"/>
    <w:pPr>
      <w:spacing w:after="0" w:line="240" w:lineRule="auto"/>
      <w:jc w:val="center"/>
    </w:pPr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Default">
    <w:name w:val="Default"/>
    <w:rsid w:val="00FB6C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B6C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КД_Абз"/>
    <w:basedOn w:val="a"/>
    <w:rsid w:val="00FB6C8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5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1050" b="1" i="0" strike="noStrike">
                <a:solidFill>
                  <a:srgbClr val="000000"/>
                </a:solidFill>
                <a:latin typeface="Calibri"/>
              </a:rPr>
              <a:t> Расходы государственного бюджета ЯАССР в военные годы</a:t>
            </a:r>
          </a:p>
        </c:rich>
      </c:tx>
      <c:layout>
        <c:manualLayout>
          <c:xMode val="edge"/>
          <c:yMode val="edge"/>
          <c:x val="0.26709062003179634"/>
          <c:y val="1.8450184501845029E-2"/>
        </c:manualLayout>
      </c:layout>
      <c:spPr>
        <a:noFill/>
        <a:ln w="25377">
          <a:noFill/>
        </a:ln>
      </c:spPr>
    </c:title>
    <c:plotArea>
      <c:layout>
        <c:manualLayout>
          <c:layoutTarget val="inner"/>
          <c:xMode val="edge"/>
          <c:yMode val="edge"/>
          <c:x val="9.2209856915739297E-2"/>
          <c:y val="0.28044280442804431"/>
          <c:w val="0.59141494435612052"/>
          <c:h val="0.60147601476014767"/>
        </c:manualLayout>
      </c:layout>
      <c:areaChart>
        <c:grouping val="stacked"/>
        <c:ser>
          <c:idx val="1"/>
          <c:order val="0"/>
          <c:tx>
            <c:strRef>
              <c:f>Sheet1!$A$2</c:f>
              <c:strCache>
                <c:ptCount val="1"/>
                <c:pt idx="0">
                  <c:v>государственная поддержка отраслей народного хозяйства</c:v>
                </c:pt>
              </c:strCache>
            </c:strRef>
          </c:tx>
          <c:spPr>
            <a:pattFill prst="narHorz">
              <a:fgClr>
                <a:srgbClr val="800000"/>
              </a:fgClr>
              <a:bgClr>
                <a:srgbClr val="FFCC99"/>
              </a:bgClr>
            </a:pattFill>
            <a:ln w="12688">
              <a:solidFill>
                <a:srgbClr val="000000"/>
              </a:solidFill>
              <a:prstDash val="solid"/>
            </a:ln>
          </c:spPr>
          <c:cat>
            <c:numRef>
              <c:f>Sheet1!$B$1:$H$1</c:f>
              <c:numCache>
                <c:formatCode>General</c:formatCode>
                <c:ptCount val="7"/>
                <c:pt idx="0">
                  <c:v>1939</c:v>
                </c:pt>
                <c:pt idx="1">
                  <c:v>1940</c:v>
                </c:pt>
                <c:pt idx="2">
                  <c:v>1941</c:v>
                </c:pt>
                <c:pt idx="3">
                  <c:v>1942</c:v>
                </c:pt>
                <c:pt idx="4">
                  <c:v>1943</c:v>
                </c:pt>
                <c:pt idx="5">
                  <c:v>1944</c:v>
                </c:pt>
                <c:pt idx="6">
                  <c:v>1945</c:v>
                </c:pt>
              </c:numCache>
            </c:numRef>
          </c:cat>
          <c:val>
            <c:numRef>
              <c:f>Sheet1!$B$2:$H$2</c:f>
              <c:numCache>
                <c:formatCode>General</c:formatCode>
                <c:ptCount val="7"/>
                <c:pt idx="0">
                  <c:v>27.3</c:v>
                </c:pt>
                <c:pt idx="1">
                  <c:v>28.9</c:v>
                </c:pt>
                <c:pt idx="2">
                  <c:v>22.7</c:v>
                </c:pt>
                <c:pt idx="3">
                  <c:v>13.6</c:v>
                </c:pt>
                <c:pt idx="4">
                  <c:v>16.7</c:v>
                </c:pt>
                <c:pt idx="5">
                  <c:v>16.399999999999999</c:v>
                </c:pt>
                <c:pt idx="6">
                  <c:v>20.2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социально-культурные мероприятия</c:v>
                </c:pt>
              </c:strCache>
            </c:strRef>
          </c:tx>
          <c:spPr>
            <a:pattFill prst="wdUpDiag">
              <a:fgClr>
                <a:srgbClr val="FFCC99"/>
              </a:fgClr>
              <a:bgClr>
                <a:srgbClr val="800000"/>
              </a:bgClr>
            </a:pattFill>
            <a:ln w="12688">
              <a:solidFill>
                <a:srgbClr val="000000"/>
              </a:solidFill>
              <a:prstDash val="solid"/>
            </a:ln>
          </c:spPr>
          <c:cat>
            <c:numRef>
              <c:f>Sheet1!$B$1:$H$1</c:f>
              <c:numCache>
                <c:formatCode>General</c:formatCode>
                <c:ptCount val="7"/>
                <c:pt idx="0">
                  <c:v>1939</c:v>
                </c:pt>
                <c:pt idx="1">
                  <c:v>1940</c:v>
                </c:pt>
                <c:pt idx="2">
                  <c:v>1941</c:v>
                </c:pt>
                <c:pt idx="3">
                  <c:v>1942</c:v>
                </c:pt>
                <c:pt idx="4">
                  <c:v>1943</c:v>
                </c:pt>
                <c:pt idx="5">
                  <c:v>1944</c:v>
                </c:pt>
                <c:pt idx="6">
                  <c:v>1945</c:v>
                </c:pt>
              </c:numCache>
            </c:num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104</c:v>
                </c:pt>
                <c:pt idx="1">
                  <c:v>116.45320000000002</c:v>
                </c:pt>
                <c:pt idx="2">
                  <c:v>109.1</c:v>
                </c:pt>
                <c:pt idx="3">
                  <c:v>95</c:v>
                </c:pt>
                <c:pt idx="4">
                  <c:v>117.9</c:v>
                </c:pt>
                <c:pt idx="5">
                  <c:v>135.9</c:v>
                </c:pt>
                <c:pt idx="6">
                  <c:v>154.9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содержание органов государственного управления</c:v>
                </c:pt>
              </c:strCache>
            </c:strRef>
          </c:tx>
          <c:spPr>
            <a:pattFill prst="pct5">
              <a:fgClr>
                <a:srgbClr val="FFCC99"/>
              </a:fgClr>
              <a:bgClr>
                <a:srgbClr val="FFCC99"/>
              </a:bgClr>
            </a:pattFill>
            <a:ln w="12688">
              <a:solidFill>
                <a:srgbClr val="000000"/>
              </a:solidFill>
              <a:prstDash val="solid"/>
            </a:ln>
          </c:spPr>
          <c:cat>
            <c:numRef>
              <c:f>Sheet1!$B$1:$H$1</c:f>
              <c:numCache>
                <c:formatCode>General</c:formatCode>
                <c:ptCount val="7"/>
                <c:pt idx="0">
                  <c:v>1939</c:v>
                </c:pt>
                <c:pt idx="1">
                  <c:v>1940</c:v>
                </c:pt>
                <c:pt idx="2">
                  <c:v>1941</c:v>
                </c:pt>
                <c:pt idx="3">
                  <c:v>1942</c:v>
                </c:pt>
                <c:pt idx="4">
                  <c:v>1943</c:v>
                </c:pt>
                <c:pt idx="5">
                  <c:v>1944</c:v>
                </c:pt>
                <c:pt idx="6">
                  <c:v>1945</c:v>
                </c:pt>
              </c:numCache>
            </c:numRef>
          </c:cat>
          <c:val>
            <c:numRef>
              <c:f>Sheet1!$B$4:$H$4</c:f>
              <c:numCache>
                <c:formatCode>General</c:formatCode>
                <c:ptCount val="7"/>
                <c:pt idx="0">
                  <c:v>27.8</c:v>
                </c:pt>
                <c:pt idx="1">
                  <c:v>28.9</c:v>
                </c:pt>
                <c:pt idx="2">
                  <c:v>27.5</c:v>
                </c:pt>
                <c:pt idx="3">
                  <c:v>24.6</c:v>
                </c:pt>
                <c:pt idx="4">
                  <c:v>27.3</c:v>
                </c:pt>
                <c:pt idx="5">
                  <c:v>30</c:v>
                </c:pt>
                <c:pt idx="6">
                  <c:v>33.700000000000003</c:v>
                </c:pt>
              </c:numCache>
            </c:numRef>
          </c:val>
        </c:ser>
        <c:ser>
          <c:idx val="4"/>
          <c:order val="3"/>
          <c:tx>
            <c:strRef>
              <c:f>Sheet1!$A$5</c:f>
              <c:strCache>
                <c:ptCount val="1"/>
                <c:pt idx="0">
                  <c:v>прочие расходы</c:v>
                </c:pt>
              </c:strCache>
            </c:strRef>
          </c:tx>
          <c:spPr>
            <a:solidFill>
              <a:srgbClr val="800000"/>
            </a:solidFill>
            <a:ln w="12688">
              <a:solidFill>
                <a:srgbClr val="000000"/>
              </a:solidFill>
              <a:prstDash val="solid"/>
            </a:ln>
          </c:spPr>
          <c:cat>
            <c:numRef>
              <c:f>Sheet1!$B$1:$H$1</c:f>
              <c:numCache>
                <c:formatCode>General</c:formatCode>
                <c:ptCount val="7"/>
                <c:pt idx="0">
                  <c:v>1939</c:v>
                </c:pt>
                <c:pt idx="1">
                  <c:v>1940</c:v>
                </c:pt>
                <c:pt idx="2">
                  <c:v>1941</c:v>
                </c:pt>
                <c:pt idx="3">
                  <c:v>1942</c:v>
                </c:pt>
                <c:pt idx="4">
                  <c:v>1943</c:v>
                </c:pt>
                <c:pt idx="5">
                  <c:v>1944</c:v>
                </c:pt>
                <c:pt idx="6">
                  <c:v>1945</c:v>
                </c:pt>
              </c:numCache>
            </c:numRef>
          </c:cat>
          <c:val>
            <c:numRef>
              <c:f>Sheet1!$B$5:$H$5</c:f>
              <c:numCache>
                <c:formatCode>General</c:formatCode>
                <c:ptCount val="7"/>
                <c:pt idx="0">
                  <c:v>4.7</c:v>
                </c:pt>
                <c:pt idx="1">
                  <c:v>2.4</c:v>
                </c:pt>
                <c:pt idx="2">
                  <c:v>20.399999999999999</c:v>
                </c:pt>
                <c:pt idx="3">
                  <c:v>1.7000000000000006</c:v>
                </c:pt>
                <c:pt idx="4">
                  <c:v>1</c:v>
                </c:pt>
                <c:pt idx="5">
                  <c:v>1.7000000000000006</c:v>
                </c:pt>
                <c:pt idx="6">
                  <c:v>3.4</c:v>
                </c:pt>
              </c:numCache>
            </c:numRef>
          </c:val>
        </c:ser>
        <c:axId val="82732928"/>
        <c:axId val="82734464"/>
      </c:areaChart>
      <c:catAx>
        <c:axId val="82732928"/>
        <c:scaling>
          <c:orientation val="minMax"/>
        </c:scaling>
        <c:axPos val="b"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734464"/>
        <c:crosses val="autoZero"/>
        <c:auto val="1"/>
        <c:lblAlgn val="ctr"/>
        <c:lblOffset val="100"/>
        <c:tickLblSkip val="1"/>
        <c:tickMarkSkip val="1"/>
      </c:catAx>
      <c:valAx>
        <c:axId val="827344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2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млн. рублей</a:t>
                </a:r>
              </a:p>
            </c:rich>
          </c:tx>
          <c:layout>
            <c:manualLayout>
              <c:xMode val="edge"/>
              <c:yMode val="edge"/>
              <c:x val="4.7694753577106523E-3"/>
              <c:y val="0.44649446494464995"/>
            </c:manualLayout>
          </c:layout>
          <c:spPr>
            <a:noFill/>
            <a:ln w="25377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732928"/>
        <c:crosses val="autoZero"/>
        <c:crossBetween val="midCat"/>
      </c:valAx>
      <c:spPr>
        <a:solidFill>
          <a:srgbClr val="FFFFFF"/>
        </a:solidFill>
        <a:ln w="12688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1542130365659806"/>
          <c:y val="0.1808118081180812"/>
          <c:w val="0.28139904610492844"/>
          <c:h val="0.74538745387453875"/>
        </c:manualLayout>
      </c:layout>
      <c:spPr>
        <a:noFill/>
        <a:ln w="25377">
          <a:noFill/>
        </a:ln>
      </c:spPr>
      <c:txPr>
        <a:bodyPr/>
        <a:lstStyle/>
        <a:p>
          <a:pPr>
            <a:defRPr sz="91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176773758895116"/>
          <c:y val="4.512916038548076E-2"/>
          <c:w val="0.8447153143290248"/>
          <c:h val="0.63296977515931119"/>
        </c:manualLayout>
      </c:layout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рабочие и члены их семей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  <a:scene3d>
              <a:camera prst="orthographicFront"/>
              <a:lightRig rig="threePt" dir="t"/>
            </a:scene3d>
            <a:sp3d>
              <a:bevelT prst="angle"/>
            </a:sp3d>
          </c:spPr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Лист1!$B$2:$D$2</c:f>
              <c:numCache>
                <c:formatCode>General</c:formatCode>
                <c:ptCount val="3"/>
                <c:pt idx="0">
                  <c:v>15329.8</c:v>
                </c:pt>
                <c:pt idx="1">
                  <c:v>10285.299999999996</c:v>
                </c:pt>
                <c:pt idx="2">
                  <c:v>9849.4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служащие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scene3d>
              <a:camera prst="orthographicFront"/>
              <a:lightRig rig="threePt" dir="t"/>
            </a:scene3d>
            <a:sp3d>
              <a:bevelT prst="angle"/>
            </a:sp3d>
          </c:spPr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Лист1!$B$3:$D$3</c:f>
              <c:numCache>
                <c:formatCode>General</c:formatCode>
                <c:ptCount val="3"/>
                <c:pt idx="0">
                  <c:v>2480.5</c:v>
                </c:pt>
                <c:pt idx="1">
                  <c:v>13263.5</c:v>
                </c:pt>
                <c:pt idx="2">
                  <c:v>9762.6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колхозники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scene3d>
              <a:camera prst="orthographicFront"/>
              <a:lightRig rig="threePt" dir="t"/>
            </a:scene3d>
            <a:sp3d>
              <a:bevelT prst="angle"/>
            </a:sp3d>
          </c:spPr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Лист1!$B$4:$D$4</c:f>
              <c:numCache>
                <c:formatCode>General</c:formatCode>
                <c:ptCount val="3"/>
                <c:pt idx="0">
                  <c:v>1408.1</c:v>
                </c:pt>
                <c:pt idx="1">
                  <c:v>997.3</c:v>
                </c:pt>
                <c:pt idx="2">
                  <c:v>1032.0999999999999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сельские советы</c:v>
                </c:pt>
              </c:strCache>
            </c:strRef>
          </c:tx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Лист1!$B$5:$D$5</c:f>
              <c:numCache>
                <c:formatCode>General</c:formatCode>
                <c:ptCount val="3"/>
                <c:pt idx="0">
                  <c:v>52.5</c:v>
                </c:pt>
                <c:pt idx="1">
                  <c:v>13.9</c:v>
                </c:pt>
                <c:pt idx="2">
                  <c:v>14</c:v>
                </c:pt>
              </c:numCache>
            </c:numRef>
          </c:val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колхозы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85000"/>
                </a:schemeClr>
              </a:solidFill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Лист1!$B$6:$D$6</c:f>
              <c:numCache>
                <c:formatCode>General</c:formatCode>
                <c:ptCount val="3"/>
                <c:pt idx="0">
                  <c:v>75.2</c:v>
                </c:pt>
                <c:pt idx="1">
                  <c:v>265.10000000000002</c:v>
                </c:pt>
                <c:pt idx="2">
                  <c:v>1468.9</c:v>
                </c:pt>
              </c:numCache>
            </c:numRef>
          </c:val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профсоюзные и другие общественные организации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  <a:scene3d>
              <a:camera prst="orthographicFront"/>
              <a:lightRig rig="threePt" dir="t"/>
            </a:scene3d>
            <a:sp3d>
              <a:bevelT prst="angle"/>
            </a:sp3d>
          </c:spPr>
          <c:cat>
            <c:numRef>
              <c:f>Лист1!$B$1:$D$1</c:f>
              <c:numCache>
                <c:formatCode>General</c:formatCode>
                <c:ptCount val="3"/>
                <c:pt idx="0">
                  <c:v>1941</c:v>
                </c:pt>
                <c:pt idx="1">
                  <c:v>1943</c:v>
                </c:pt>
                <c:pt idx="2">
                  <c:v>1944</c:v>
                </c:pt>
              </c:numCache>
            </c:numRef>
          </c:cat>
          <c:val>
            <c:numRef>
              <c:f>Лист1!$B$7:$D$7</c:f>
              <c:numCache>
                <c:formatCode>General</c:formatCode>
                <c:ptCount val="3"/>
                <c:pt idx="0">
                  <c:v>373.5</c:v>
                </c:pt>
                <c:pt idx="1">
                  <c:v>347.2</c:v>
                </c:pt>
                <c:pt idx="2">
                  <c:v>400.6</c:v>
                </c:pt>
              </c:numCache>
            </c:numRef>
          </c:val>
        </c:ser>
        <c:axId val="82796544"/>
        <c:axId val="82798080"/>
      </c:barChart>
      <c:catAx>
        <c:axId val="8279654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2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2798080"/>
        <c:crosses val="autoZero"/>
        <c:auto val="1"/>
        <c:lblAlgn val="ctr"/>
        <c:lblOffset val="100"/>
      </c:catAx>
      <c:valAx>
        <c:axId val="82798080"/>
        <c:scaling>
          <c:orientation val="minMax"/>
        </c:scaling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b="0">
                    <a:latin typeface="Arial" pitchFamily="34" charset="0"/>
                    <a:cs typeface="Arial" pitchFamily="34" charset="0"/>
                  </a:rPr>
                  <a:t>млн.рублей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92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27965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"/>
          <c:y val="0.8389568927312957"/>
          <c:w val="1"/>
          <c:h val="0.16104310726870447"/>
        </c:manualLayout>
      </c:layout>
      <c:txPr>
        <a:bodyPr/>
        <a:lstStyle/>
        <a:p>
          <a:pPr>
            <a:defRPr sz="92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P14_IgnatievaES</dc:creator>
  <cp:lastModifiedBy>P14_BuryachenkoOA</cp:lastModifiedBy>
  <cp:revision>5</cp:revision>
  <cp:lastPrinted>2020-04-30T07:43:00Z</cp:lastPrinted>
  <dcterms:created xsi:type="dcterms:W3CDTF">2020-04-30T05:46:00Z</dcterms:created>
  <dcterms:modified xsi:type="dcterms:W3CDTF">2020-05-06T02:20:00Z</dcterms:modified>
</cp:coreProperties>
</file>